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123" w14:textId="4972D8C9" w:rsidR="002659C4" w:rsidRPr="00377ECC" w:rsidRDefault="00D52C17" w:rsidP="00377ECC">
      <w:pPr>
        <w:pStyle w:val="Heading2"/>
      </w:pPr>
      <w:r>
        <w:rPr>
          <w:b/>
          <w:bCs/>
        </w:rPr>
        <w:t xml:space="preserve">VERSION 1 </w:t>
      </w:r>
      <w:r w:rsidR="00F55C6D">
        <w:t>Curriculum</w:t>
      </w:r>
      <w:r w:rsidR="00BF2868">
        <w:t xml:space="preserve"> MAP</w:t>
      </w:r>
      <w:r w:rsidR="00377ECC">
        <w:t xml:space="preserve"> – OPTIONAL resource</w:t>
      </w:r>
    </w:p>
    <w:p w14:paraId="02369539" w14:textId="6B396491" w:rsidR="002659C4" w:rsidRPr="005F18D4" w:rsidRDefault="002659C4" w:rsidP="00D4476A">
      <w:pPr>
        <w:pStyle w:val="ListParagraph"/>
        <w:spacing w:before="0" w:after="0" w:line="240" w:lineRule="auto"/>
        <w:ind w:left="0"/>
        <w:rPr>
          <w:rFonts w:eastAsia="Calibri"/>
          <w:b/>
          <w:sz w:val="22"/>
          <w:szCs w:val="22"/>
        </w:rPr>
      </w:pPr>
      <w:r w:rsidRPr="005F18D4">
        <w:rPr>
          <w:rFonts w:eastAsia="Calibri"/>
          <w:i/>
          <w:color w:val="FF0000"/>
          <w:sz w:val="22"/>
          <w:szCs w:val="22"/>
        </w:rPr>
        <w:t xml:space="preserve">The matrix provides a template for reconciling courses and other learning activities with the knowledge, skills and values deemed significant by the profession. </w:t>
      </w:r>
      <w:r w:rsidR="00377ECC" w:rsidRPr="005F18D4">
        <w:rPr>
          <w:rFonts w:eastAsia="Calibri"/>
          <w:i/>
          <w:color w:val="FF0000"/>
          <w:sz w:val="22"/>
          <w:szCs w:val="22"/>
        </w:rPr>
        <w:t xml:space="preserve">If Programs choose to use this resource, it should be done </w:t>
      </w:r>
      <w:r w:rsidRPr="005F18D4">
        <w:rPr>
          <w:rFonts w:eastAsia="Calibri"/>
          <w:i/>
          <w:color w:val="FF0000"/>
          <w:sz w:val="22"/>
          <w:szCs w:val="22"/>
        </w:rPr>
        <w:t xml:space="preserve">in a deliberative manner that ensures full engagement of faculty and administration and critical analysis of the curriculum. Indicate with an “x” </w:t>
      </w:r>
      <w:r w:rsidR="00277338">
        <w:rPr>
          <w:rFonts w:eastAsia="Calibri"/>
          <w:i/>
          <w:color w:val="FF0000"/>
          <w:sz w:val="22"/>
          <w:szCs w:val="22"/>
        </w:rPr>
        <w:t xml:space="preserve">for </w:t>
      </w:r>
      <w:r w:rsidRPr="005F18D4">
        <w:rPr>
          <w:rFonts w:eastAsia="Calibri"/>
          <w:i/>
          <w:color w:val="FF0000"/>
          <w:sz w:val="22"/>
          <w:szCs w:val="22"/>
        </w:rPr>
        <w:t xml:space="preserve">the primary learning components embedded in each listed course and activity. </w:t>
      </w:r>
    </w:p>
    <w:p w14:paraId="03076674" w14:textId="77777777" w:rsidR="000C1A53" w:rsidRPr="000C1A53" w:rsidRDefault="000C1A53" w:rsidP="000C1A53">
      <w:pPr>
        <w:spacing w:before="0" w:after="0" w:line="240" w:lineRule="auto"/>
        <w:rPr>
          <w:rFonts w:eastAsia="Calibri"/>
          <w:b/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398"/>
        <w:gridCol w:w="450"/>
        <w:gridCol w:w="450"/>
        <w:gridCol w:w="360"/>
        <w:gridCol w:w="270"/>
        <w:gridCol w:w="360"/>
        <w:gridCol w:w="360"/>
        <w:gridCol w:w="360"/>
        <w:gridCol w:w="270"/>
        <w:gridCol w:w="360"/>
        <w:gridCol w:w="360"/>
      </w:tblGrid>
      <w:tr w:rsidR="00377ECC" w:rsidRPr="000C1A53" w14:paraId="190D0C6D" w14:textId="77777777" w:rsidTr="00DE4AFC">
        <w:trPr>
          <w:cantSplit/>
          <w:trHeight w:val="2600"/>
        </w:trPr>
        <w:tc>
          <w:tcPr>
            <w:tcW w:w="7398" w:type="dxa"/>
            <w:tcBorders>
              <w:bottom w:val="nil"/>
            </w:tcBorders>
            <w:vAlign w:val="center"/>
          </w:tcPr>
          <w:p w14:paraId="4DF23334" w14:textId="77777777" w:rsidR="00377ECC" w:rsidRPr="005F18D4" w:rsidRDefault="00377ECC" w:rsidP="000C1A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18D4">
              <w:rPr>
                <w:rFonts w:eastAsia="Calibri"/>
                <w:b/>
                <w:sz w:val="22"/>
                <w:szCs w:val="22"/>
              </w:rPr>
              <w:t>Curriculum Map</w:t>
            </w:r>
          </w:p>
          <w:p w14:paraId="5FA3322B" w14:textId="77777777" w:rsidR="00377ECC" w:rsidRPr="005F18D4" w:rsidRDefault="00377ECC" w:rsidP="000C1A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2C87D7B" w14:textId="77777777" w:rsidR="00377ECC" w:rsidRPr="005F18D4" w:rsidRDefault="00377ECC" w:rsidP="000C1A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18D4">
              <w:rPr>
                <w:rFonts w:eastAsia="Calibri"/>
                <w:b/>
                <w:sz w:val="22"/>
                <w:szCs w:val="22"/>
              </w:rPr>
              <w:t>Courses Required of All Students</w:t>
            </w:r>
          </w:p>
        </w:tc>
        <w:tc>
          <w:tcPr>
            <w:tcW w:w="450" w:type="dxa"/>
            <w:vMerge w:val="restart"/>
            <w:textDirection w:val="btLr"/>
          </w:tcPr>
          <w:p w14:paraId="308293B4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  <w:r w:rsidRPr="000C1A53">
              <w:rPr>
                <w:rFonts w:eastAsia="Calibri"/>
                <w:b/>
                <w:sz w:val="24"/>
                <w:szCs w:val="24"/>
              </w:rPr>
              <w:t>Course Number and Title</w:t>
            </w:r>
          </w:p>
        </w:tc>
        <w:tc>
          <w:tcPr>
            <w:tcW w:w="450" w:type="dxa"/>
            <w:vMerge w:val="restart"/>
            <w:textDirection w:val="btLr"/>
          </w:tcPr>
          <w:p w14:paraId="1C6926D3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09033C9B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extDirection w:val="btLr"/>
          </w:tcPr>
          <w:p w14:paraId="5C38B284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0625523D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60D0B14B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412E80DC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extDirection w:val="btLr"/>
          </w:tcPr>
          <w:p w14:paraId="30124001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472E3629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52E0ADE4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77ECC" w:rsidRPr="000C1A53" w14:paraId="73F61276" w14:textId="77777777" w:rsidTr="00DE4AFC">
        <w:trPr>
          <w:cantSplit/>
          <w:trHeight w:val="54"/>
        </w:trPr>
        <w:tc>
          <w:tcPr>
            <w:tcW w:w="7398" w:type="dxa"/>
            <w:tcBorders>
              <w:top w:val="nil"/>
            </w:tcBorders>
            <w:vAlign w:val="bottom"/>
          </w:tcPr>
          <w:p w14:paraId="24A25DBB" w14:textId="77C8ED5A" w:rsidR="00377ECC" w:rsidRPr="005F18D4" w:rsidRDefault="00377ECC" w:rsidP="000C1A5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03F2A841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0F2D6683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5BC25919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textDirection w:val="btLr"/>
          </w:tcPr>
          <w:p w14:paraId="49E1060C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58B1DEC3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3ABBC7F7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50F32280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textDirection w:val="btLr"/>
          </w:tcPr>
          <w:p w14:paraId="1A7F6530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2459B05D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1FCFB608" w14:textId="77777777" w:rsidR="00377ECC" w:rsidRPr="000C1A53" w:rsidRDefault="00377ECC" w:rsidP="000C1A53">
            <w:pPr>
              <w:ind w:left="113" w:right="113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77ECC" w:rsidRPr="000C1A53" w14:paraId="0BAE52BE" w14:textId="77777777" w:rsidTr="00DE4AFC">
        <w:trPr>
          <w:trHeight w:val="341"/>
        </w:trPr>
        <w:tc>
          <w:tcPr>
            <w:tcW w:w="10998" w:type="dxa"/>
            <w:gridSpan w:val="11"/>
            <w:shd w:val="clear" w:color="auto" w:fill="E9D8BE" w:themeFill="accent5" w:themeFillTint="66"/>
            <w:vAlign w:val="center"/>
          </w:tcPr>
          <w:p w14:paraId="6E73C6EB" w14:textId="2DA0A213" w:rsidR="00377ECC" w:rsidRPr="005F18D4" w:rsidRDefault="00377ECC" w:rsidP="00377ECC">
            <w:pPr>
              <w:rPr>
                <w:rFonts w:eastAsia="Calibri"/>
                <w:b/>
                <w:sz w:val="22"/>
                <w:szCs w:val="22"/>
              </w:rPr>
            </w:pPr>
            <w:r w:rsidRPr="005F18D4">
              <w:rPr>
                <w:rFonts w:eastAsia="Calibri"/>
                <w:b/>
                <w:bCs/>
                <w:sz w:val="22"/>
                <w:szCs w:val="22"/>
              </w:rPr>
              <w:t>A. Guiding Values</w:t>
            </w:r>
          </w:p>
        </w:tc>
      </w:tr>
      <w:tr w:rsidR="00377ECC" w:rsidRPr="000C1A53" w14:paraId="3C2A8D0A" w14:textId="77777777" w:rsidTr="00DE4AFC">
        <w:trPr>
          <w:trHeight w:val="353"/>
        </w:trPr>
        <w:tc>
          <w:tcPr>
            <w:tcW w:w="7398" w:type="dxa"/>
            <w:vAlign w:val="center"/>
          </w:tcPr>
          <w:p w14:paraId="39A8E976" w14:textId="2E311818" w:rsidR="00377ECC" w:rsidRPr="005F18D4" w:rsidRDefault="00377ECC" w:rsidP="00377ECC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Equity, Diversity, Social Justice, and Inclusion</w:t>
            </w:r>
            <w:r w:rsidRPr="005F18D4">
              <w:rPr>
                <w:rFonts w:eastAsia="Calibri"/>
                <w:bCs/>
                <w:sz w:val="22"/>
                <w:szCs w:val="22"/>
              </w:rPr>
              <w:t xml:space="preserve">: </w:t>
            </w:r>
            <w:r w:rsidR="00642407" w:rsidRPr="005F18D4">
              <w:rPr>
                <w:rFonts w:cs="Calibri"/>
                <w:sz w:val="22"/>
                <w:szCs w:val="22"/>
              </w:rPr>
              <w:t>key issues of equity, diversity, and social justice, including</w:t>
            </w:r>
            <w:r w:rsidR="004B69F2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201134AD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F1E9E66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4AF88D1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D20AAFE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94CAFC9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E007FDE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4365D48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4A59A40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01B7645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89519EB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457ACECC" w14:textId="77777777" w:rsidTr="00DE4AFC">
        <w:trPr>
          <w:trHeight w:val="353"/>
        </w:trPr>
        <w:tc>
          <w:tcPr>
            <w:tcW w:w="7398" w:type="dxa"/>
            <w:vAlign w:val="center"/>
          </w:tcPr>
          <w:p w14:paraId="5C0A6D06" w14:textId="6547BD21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rFonts w:cs="Calibri"/>
                <w:sz w:val="22"/>
                <w:szCs w:val="22"/>
              </w:rPr>
              <w:t>planners’ role in expanding choice and opportunity for all persons;</w:t>
            </w:r>
          </w:p>
        </w:tc>
        <w:tc>
          <w:tcPr>
            <w:tcW w:w="450" w:type="dxa"/>
          </w:tcPr>
          <w:p w14:paraId="1705571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2EA29DA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C5461A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C32BB6D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14D1F3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6B23F12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F2A45B7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3C18152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18ADE04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773EDE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33ABEEDC" w14:textId="77777777" w:rsidTr="00DE4AFC">
        <w:trPr>
          <w:trHeight w:val="353"/>
        </w:trPr>
        <w:tc>
          <w:tcPr>
            <w:tcW w:w="7398" w:type="dxa"/>
            <w:vAlign w:val="center"/>
          </w:tcPr>
          <w:p w14:paraId="1D5ECB95" w14:textId="77D05814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rFonts w:cs="Calibri"/>
                <w:sz w:val="22"/>
                <w:szCs w:val="22"/>
              </w:rPr>
              <w:t>planning for the needs of disadvantaged groups</w:t>
            </w:r>
            <w:r>
              <w:rPr>
                <w:rFonts w:cs="Calibri"/>
                <w:sz w:val="22"/>
                <w:szCs w:val="22"/>
              </w:rPr>
              <w:t>;</w:t>
            </w:r>
          </w:p>
        </w:tc>
        <w:tc>
          <w:tcPr>
            <w:tcW w:w="450" w:type="dxa"/>
          </w:tcPr>
          <w:p w14:paraId="58B4D84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CDA5B7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FF389C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CF9247B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CF95B54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531546B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08081D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D01B6F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D54C32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2D8D68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6E323601" w14:textId="77777777" w:rsidTr="00DE4AFC">
        <w:trPr>
          <w:trHeight w:val="353"/>
        </w:trPr>
        <w:tc>
          <w:tcPr>
            <w:tcW w:w="7398" w:type="dxa"/>
            <w:vAlign w:val="center"/>
          </w:tcPr>
          <w:p w14:paraId="508615D9" w14:textId="061C55C4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rFonts w:cs="Calibri"/>
                <w:sz w:val="22"/>
                <w:szCs w:val="22"/>
              </w:rPr>
              <w:t>reducing inequities through critical examination of past and current systems;</w:t>
            </w:r>
            <w:r w:rsidR="00277338">
              <w:rPr>
                <w:rFonts w:cs="Calibri"/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4300FDB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127E8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88C85C4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1F474B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A2D5E8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9902BAC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E83C0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A53AA8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6C1590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280470A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1A9E6B52" w14:textId="77777777" w:rsidTr="00DE4AFC">
        <w:trPr>
          <w:trHeight w:val="353"/>
        </w:trPr>
        <w:tc>
          <w:tcPr>
            <w:tcW w:w="7398" w:type="dxa"/>
            <w:vAlign w:val="center"/>
          </w:tcPr>
          <w:p w14:paraId="06C459C2" w14:textId="02CA458A" w:rsidR="004B69F2" w:rsidRPr="005F18D4" w:rsidRDefault="004B69F2" w:rsidP="004B69F2">
            <w:pPr>
              <w:pStyle w:val="ListParagraph"/>
              <w:ind w:left="360"/>
              <w:rPr>
                <w:rFonts w:cs="Calibri"/>
                <w:sz w:val="22"/>
                <w:szCs w:val="22"/>
              </w:rPr>
            </w:pPr>
            <w:r w:rsidRPr="005F18D4">
              <w:rPr>
                <w:rFonts w:cs="Calibri"/>
                <w:sz w:val="22"/>
                <w:szCs w:val="22"/>
              </w:rPr>
              <w:t>promoting racial and economic equity.</w:t>
            </w:r>
          </w:p>
        </w:tc>
        <w:tc>
          <w:tcPr>
            <w:tcW w:w="450" w:type="dxa"/>
          </w:tcPr>
          <w:p w14:paraId="35B40A9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708308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039AE4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FE0162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2BF159D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7ACDF1B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7FC0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D8D8F8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C93F0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58501A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77ECC" w:rsidRPr="000C1A53" w14:paraId="79F52682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477198C4" w14:textId="781A25F6" w:rsidR="00377ECC" w:rsidRPr="005F18D4" w:rsidRDefault="00377ECC" w:rsidP="00377ECC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Sustainability, Resilience, and Climate Justice</w:t>
            </w:r>
            <w:r w:rsidR="00642407" w:rsidRPr="005F18D4">
              <w:rPr>
                <w:rFonts w:eastAsia="Calibri"/>
                <w:bCs/>
                <w:sz w:val="22"/>
                <w:szCs w:val="22"/>
              </w:rPr>
              <w:t xml:space="preserve">: </w:t>
            </w:r>
            <w:r w:rsidR="00642407" w:rsidRPr="005F18D4">
              <w:rPr>
                <w:rFonts w:cs="Calibri"/>
                <w:sz w:val="22"/>
                <w:szCs w:val="22"/>
              </w:rPr>
              <w:t>environmental, economic, and social/political factors that contribute to sustainable communities, reducing impacts of climate change, and creating equitable and climate-adapted futures.</w:t>
            </w:r>
          </w:p>
        </w:tc>
        <w:tc>
          <w:tcPr>
            <w:tcW w:w="450" w:type="dxa"/>
          </w:tcPr>
          <w:p w14:paraId="6BFE72C3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B85A1B2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098F111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6651D5A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023C90E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7E5033D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7BA1D3F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A00A473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5B189D9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7021AE8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77ECC" w:rsidRPr="000C1A53" w14:paraId="421DFB31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4CD34D53" w14:textId="78E06F06" w:rsidR="00377ECC" w:rsidRPr="005F18D4" w:rsidRDefault="00377ECC" w:rsidP="00377ECC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Professional Ethics and Responsibility</w:t>
            </w:r>
            <w:r w:rsidR="00642407" w:rsidRPr="005F18D4">
              <w:rPr>
                <w:rFonts w:eastAsia="Calibri"/>
                <w:bCs/>
                <w:sz w:val="22"/>
                <w:szCs w:val="22"/>
              </w:rPr>
              <w:t xml:space="preserve">: </w:t>
            </w:r>
            <w:r w:rsidR="00642407" w:rsidRPr="005F18D4">
              <w:rPr>
                <w:rFonts w:cs="Calibri"/>
                <w:sz w:val="22"/>
                <w:szCs w:val="22"/>
              </w:rPr>
              <w:t>key issues of planning ethics and related questions of the ethics of public decision-making, research, and client representation (including the provisions of the AICP Code of Ethics and Professional Conduct, and APA’s Ethical Principles in Planning).</w:t>
            </w:r>
          </w:p>
        </w:tc>
        <w:tc>
          <w:tcPr>
            <w:tcW w:w="450" w:type="dxa"/>
          </w:tcPr>
          <w:p w14:paraId="614A4BFB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A51CC6C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F1C4F2F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C1692F7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9110637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D2848D1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D7E55C9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2ADF463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68530E4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B153C6" w14:textId="77777777" w:rsidR="00377ECC" w:rsidRPr="000C1A53" w:rsidRDefault="00377EC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77ECC" w:rsidRPr="000C1A53" w14:paraId="0875C332" w14:textId="77777777" w:rsidTr="00DE4AFC">
        <w:trPr>
          <w:trHeight w:val="341"/>
        </w:trPr>
        <w:tc>
          <w:tcPr>
            <w:tcW w:w="10998" w:type="dxa"/>
            <w:gridSpan w:val="11"/>
            <w:shd w:val="clear" w:color="auto" w:fill="E9D8BE" w:themeFill="accent5" w:themeFillTint="66"/>
            <w:vAlign w:val="center"/>
          </w:tcPr>
          <w:p w14:paraId="6CC23EA5" w14:textId="1BBF1878" w:rsidR="00377ECC" w:rsidRPr="005F18D4" w:rsidRDefault="00377ECC" w:rsidP="00377ECC">
            <w:pPr>
              <w:rPr>
                <w:rFonts w:eastAsia="Calibri"/>
                <w:b/>
                <w:sz w:val="22"/>
                <w:szCs w:val="22"/>
              </w:rPr>
            </w:pPr>
            <w:r w:rsidRPr="005F18D4">
              <w:rPr>
                <w:rFonts w:eastAsia="Calibri"/>
                <w:b/>
                <w:bCs/>
                <w:sz w:val="22"/>
                <w:szCs w:val="22"/>
              </w:rPr>
              <w:t>B. Required Knowledge and Skills of the Profession</w:t>
            </w:r>
          </w:p>
        </w:tc>
      </w:tr>
      <w:tr w:rsidR="00DE4AFC" w:rsidRPr="000C1A53" w14:paraId="1802D158" w14:textId="77777777" w:rsidTr="00FD4AEE">
        <w:trPr>
          <w:trHeight w:val="341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shd w:val="clear" w:color="auto" w:fill="E9D8BE" w:themeFill="accent5" w:themeFillTint="66"/>
            <w:vAlign w:val="center"/>
          </w:tcPr>
          <w:p w14:paraId="1DDF3BB8" w14:textId="50E4E0E9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  <w:r w:rsidRPr="005F18D4">
              <w:rPr>
                <w:rFonts w:eastAsia="Calibri"/>
                <w:b/>
                <w:bCs/>
                <w:sz w:val="22"/>
                <w:szCs w:val="22"/>
              </w:rPr>
              <w:t>B1. General Planning Knowledge in Global Context</w:t>
            </w:r>
          </w:p>
        </w:tc>
      </w:tr>
      <w:tr w:rsidR="00DE4AFC" w:rsidRPr="000C1A53" w14:paraId="6AC6433E" w14:textId="77777777" w:rsidTr="007863FA">
        <w:trPr>
          <w:trHeight w:val="341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E0B44" w14:textId="6A12DF36" w:rsidR="00DE4AFC" w:rsidRPr="005F18D4" w:rsidRDefault="00DE4AFC" w:rsidP="0064240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Planning History</w:t>
            </w:r>
            <w:r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and Theory</w:t>
            </w: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:</w:t>
            </w:r>
            <w:r w:rsidRPr="005F18D4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8BE" w:themeFill="accent5" w:themeFillTint="66"/>
          </w:tcPr>
          <w:p w14:paraId="64BDAD51" w14:textId="77777777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78C98BD5" w14:textId="77777777" w:rsidTr="00FD4AEE">
        <w:trPr>
          <w:trHeight w:val="341"/>
        </w:trPr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43B4342D" w14:textId="10F587B6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bCs/>
                <w:iCs/>
                <w:sz w:val="22"/>
                <w:szCs w:val="22"/>
              </w:rPr>
              <w:t>The evolution and current practice of planning in communities, cities, regions, and nations;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3428AD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AD675C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709147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982500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44BA2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2A5C74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D9C9B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A1CB89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AE15DE8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DC4ED8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39BA4BCE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533D62E5" w14:textId="34F656A0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how planning has advanced and hindered the attainment of justice, equity, diversity, and inclusion;</w:t>
            </w:r>
          </w:p>
        </w:tc>
        <w:tc>
          <w:tcPr>
            <w:tcW w:w="450" w:type="dxa"/>
          </w:tcPr>
          <w:p w14:paraId="7507D30A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8381D6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BCC81C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F9BCA8B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6B61E1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3AE6D1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59CFA6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240225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171DE9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874F3C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3F532161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0892B7D2" w14:textId="73346BD7" w:rsidR="004B69F2" w:rsidRPr="005F18D4" w:rsidRDefault="004B69F2" w:rsidP="004B69F2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expectations about planning outcomes in different local and national contexts;</w:t>
            </w:r>
          </w:p>
        </w:tc>
        <w:tc>
          <w:tcPr>
            <w:tcW w:w="450" w:type="dxa"/>
          </w:tcPr>
          <w:p w14:paraId="7FA29EE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CB6AC7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702C252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FE5980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60564DD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7FB277B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926988A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8B6AD77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329851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AE2F16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3B146ACB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548C42B2" w14:textId="7D3C064A" w:rsidR="004B69F2" w:rsidRPr="005F18D4" w:rsidRDefault="004B69F2" w:rsidP="00277338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 xml:space="preserve">conceptual models about what planning is and how it works; </w:t>
            </w:r>
          </w:p>
        </w:tc>
        <w:tc>
          <w:tcPr>
            <w:tcW w:w="450" w:type="dxa"/>
          </w:tcPr>
          <w:p w14:paraId="23E79A2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710BA4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7C825C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45DAB77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887D73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E580A6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29519AB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D068AC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F064C48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FA9404C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77338" w:rsidRPr="000C1A53" w14:paraId="33361906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044AB1B6" w14:textId="0CCB1F23" w:rsidR="00277338" w:rsidRPr="005F18D4" w:rsidRDefault="00277338" w:rsidP="004B69F2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past and present conceptions of the future, including the relationship between planning and the future;</w:t>
            </w:r>
            <w:r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409046E5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9FC865F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7BBD9C7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C9E9D75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C0B5623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9F4653E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FDCBDE8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26E6AF1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1094430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B89DED3" w14:textId="77777777" w:rsidR="00277338" w:rsidRPr="000C1A53" w:rsidRDefault="00277338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3E7267C9" w14:textId="77777777" w:rsidTr="00FD4AEE">
        <w:trPr>
          <w:trHeight w:val="341"/>
        </w:trPr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44B20A20" w14:textId="57904773" w:rsidR="004B69F2" w:rsidRPr="005F18D4" w:rsidRDefault="004B69F2" w:rsidP="004B69F2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the role of planning in responding to the global climate crisis.</w:t>
            </w:r>
          </w:p>
        </w:tc>
        <w:tc>
          <w:tcPr>
            <w:tcW w:w="450" w:type="dxa"/>
          </w:tcPr>
          <w:p w14:paraId="7D3B4CC8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6FD88B8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772E29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D6CB73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EBCACF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74360C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EE5B51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D60658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622EA4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4821BD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4AFC" w:rsidRPr="000C1A53" w14:paraId="1AE6CB3F" w14:textId="77777777" w:rsidTr="007863FA">
        <w:trPr>
          <w:trHeight w:val="341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EA1A6" w14:textId="27C80CBC" w:rsidR="00DE4AFC" w:rsidRPr="005F18D4" w:rsidRDefault="00DE4AFC" w:rsidP="0064240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Planning Law and Institutions</w:t>
            </w:r>
            <w:r w:rsidRPr="005F18D4">
              <w:rPr>
                <w:rFonts w:eastAsia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600" w:type="dxa"/>
            <w:gridSpan w:val="10"/>
            <w:tcBorders>
              <w:left w:val="nil"/>
            </w:tcBorders>
            <w:shd w:val="clear" w:color="auto" w:fill="E9D8BE" w:themeFill="accent5" w:themeFillTint="66"/>
          </w:tcPr>
          <w:p w14:paraId="043AC7EC" w14:textId="77777777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19E26B6C" w14:textId="77777777" w:rsidTr="00FD4AEE">
        <w:trPr>
          <w:trHeight w:val="341"/>
        </w:trPr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52429386" w14:textId="186102E9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lastRenderedPageBreak/>
              <w:t>Behaviors and structures available to bring about sound planning outcomes;</w:t>
            </w:r>
          </w:p>
        </w:tc>
        <w:tc>
          <w:tcPr>
            <w:tcW w:w="450" w:type="dxa"/>
          </w:tcPr>
          <w:p w14:paraId="5F2253A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2EFC43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3478C09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AD3FA2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12F9B0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A5C5B8C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431068A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D4BF9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7C5D294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B2C346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5A106021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27D46C86" w14:textId="632B55A6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mechanisms and practices for ensuring equitable and inclusive decision-making;</w:t>
            </w:r>
            <w:r w:rsidR="00277338"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1B54276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677476C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8FBC0E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D23CFAE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1E332C8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420041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B48B8C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FE4568C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D90690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1DD83A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B69F2" w:rsidRPr="000C1A53" w14:paraId="0B4A5658" w14:textId="77777777" w:rsidTr="00FD4AEE">
        <w:trPr>
          <w:trHeight w:val="341"/>
        </w:trPr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733E8FD5" w14:textId="409D5759" w:rsidR="004B69F2" w:rsidRPr="005F18D4" w:rsidRDefault="004B69F2" w:rsidP="004B69F2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legal and institutional contexts within which planning occurs in the U.S. and/or internationally.</w:t>
            </w:r>
          </w:p>
        </w:tc>
        <w:tc>
          <w:tcPr>
            <w:tcW w:w="450" w:type="dxa"/>
          </w:tcPr>
          <w:p w14:paraId="4220CF72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FC325FF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C95A2D1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3941D72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43A591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D785D16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D97E26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6D50885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5B4A943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CE4C1A" w14:textId="77777777" w:rsidR="004B69F2" w:rsidRPr="000C1A53" w:rsidRDefault="004B69F2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4AFC" w:rsidRPr="000C1A53" w14:paraId="37438001" w14:textId="77777777" w:rsidTr="007863FA">
        <w:trPr>
          <w:trHeight w:val="341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002E9" w14:textId="612F4625" w:rsidR="00DE4AFC" w:rsidRPr="005F18D4" w:rsidRDefault="00DE4AFC" w:rsidP="0064240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Urban and Regional Development</w:t>
            </w:r>
            <w:r w:rsidRPr="005F18D4">
              <w:rPr>
                <w:rFonts w:eastAsia="Calibri"/>
                <w:bCs/>
                <w:sz w:val="22"/>
                <w:szCs w:val="22"/>
              </w:rPr>
              <w:t>:</w:t>
            </w:r>
            <w:r w:rsidRPr="005F1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left w:val="nil"/>
            </w:tcBorders>
            <w:shd w:val="clear" w:color="auto" w:fill="E9D8BE" w:themeFill="accent5" w:themeFillTint="66"/>
          </w:tcPr>
          <w:p w14:paraId="44A23291" w14:textId="77777777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B7789" w:rsidRPr="000C1A53" w14:paraId="1EAEF38D" w14:textId="77777777" w:rsidTr="00FD4AEE">
        <w:trPr>
          <w:trHeight w:val="341"/>
        </w:trPr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2FB0527B" w14:textId="2C340859" w:rsidR="000B7789" w:rsidRPr="005F18D4" w:rsidRDefault="000B7789" w:rsidP="000B7789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Political, economic, social, and environmental explanations of and insights on historical, present, and future development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50" w:type="dxa"/>
          </w:tcPr>
          <w:p w14:paraId="1A590171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3990DD6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1B4B705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CDDD9FD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60087F8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D6D0362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27B066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FA7252E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A4A0D4F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5ED6100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B7789" w:rsidRPr="000C1A53" w14:paraId="221109BE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61237A69" w14:textId="7A98835E" w:rsidR="000B7789" w:rsidRPr="005F18D4" w:rsidRDefault="000B7789" w:rsidP="000B7789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relationships between the built and natural environments and individual and community health and well-being;</w:t>
            </w:r>
          </w:p>
        </w:tc>
        <w:tc>
          <w:tcPr>
            <w:tcW w:w="450" w:type="dxa"/>
          </w:tcPr>
          <w:p w14:paraId="291BF6AC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0D2E6DF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5EFD04E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C170B43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B17FBC2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222030B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DDB6DFF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617C7E7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95CA17E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1AC1791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B7789" w:rsidRPr="000C1A53" w14:paraId="1B5D48DC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57654F16" w14:textId="141DE52D" w:rsidR="000B7789" w:rsidRPr="005F18D4" w:rsidRDefault="000B7789" w:rsidP="000B7789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planning responses to mitigate climate change, reduce risks, and recover from climate-exacerbated impacts;</w:t>
            </w:r>
            <w:r w:rsidR="00277338"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6497ED0F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36E5222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A51BB98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C967682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34D2D38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2CCAEEF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15FEEC1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857131E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F8537CC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4BA550B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B7789" w:rsidRPr="000C1A53" w14:paraId="5763F26C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4B277E1F" w14:textId="6DA2F512" w:rsidR="000B7789" w:rsidRPr="005F18D4" w:rsidRDefault="000B7789" w:rsidP="000B7789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interactions – flows of people, materials, ideas, and cultures – across world regions.</w:t>
            </w:r>
          </w:p>
        </w:tc>
        <w:tc>
          <w:tcPr>
            <w:tcW w:w="450" w:type="dxa"/>
          </w:tcPr>
          <w:p w14:paraId="451E391D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381DCCF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800D1C9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27CC4AA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79193E3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6E3351E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579AEF1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83934BC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5A8DA53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9CC8DAD" w14:textId="77777777" w:rsidR="000B7789" w:rsidRPr="000C1A53" w:rsidRDefault="000B778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4AFC" w:rsidRPr="000C1A53" w14:paraId="59532305" w14:textId="77777777" w:rsidTr="009740D2">
        <w:trPr>
          <w:trHeight w:val="341"/>
        </w:trPr>
        <w:tc>
          <w:tcPr>
            <w:tcW w:w="10998" w:type="dxa"/>
            <w:gridSpan w:val="11"/>
            <w:shd w:val="clear" w:color="auto" w:fill="E9D8BE" w:themeFill="accent5" w:themeFillTint="66"/>
            <w:vAlign w:val="center"/>
          </w:tcPr>
          <w:p w14:paraId="3184C75B" w14:textId="6F80CC76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  <w:r w:rsidRPr="005F18D4">
              <w:rPr>
                <w:rFonts w:eastAsia="Calibri"/>
                <w:b/>
                <w:bCs/>
                <w:sz w:val="22"/>
                <w:szCs w:val="22"/>
              </w:rPr>
              <w:t>B2. Skills and Tools for Planning Practice</w:t>
            </w:r>
          </w:p>
        </w:tc>
      </w:tr>
      <w:tr w:rsidR="00DE4AFC" w:rsidRPr="000C1A53" w14:paraId="44E2E8A7" w14:textId="77777777" w:rsidTr="007863FA">
        <w:trPr>
          <w:trHeight w:val="341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36842" w14:textId="6BA8C41D" w:rsidR="00DE4AFC" w:rsidRPr="005F18D4" w:rsidRDefault="00DE4AFC" w:rsidP="00642407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Planning Process and Engagement:</w:t>
            </w:r>
            <w:r w:rsidRPr="005F18D4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left w:val="nil"/>
            </w:tcBorders>
            <w:shd w:val="clear" w:color="auto" w:fill="E9D8BE" w:themeFill="accent5" w:themeFillTint="66"/>
          </w:tcPr>
          <w:p w14:paraId="14B3C692" w14:textId="77777777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07C4" w:rsidRPr="000C1A53" w14:paraId="3B8854D9" w14:textId="77777777" w:rsidTr="00FD4AEE">
        <w:trPr>
          <w:trHeight w:val="341"/>
        </w:trPr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18A50D3B" w14:textId="4585791C" w:rsidR="003007C4" w:rsidRPr="005F18D4" w:rsidRDefault="003007C4" w:rsidP="003007C4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Planning process and community and stakeholder engagement;</w:t>
            </w:r>
          </w:p>
        </w:tc>
        <w:tc>
          <w:tcPr>
            <w:tcW w:w="450" w:type="dxa"/>
          </w:tcPr>
          <w:p w14:paraId="0EF9457C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BEB709B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24B9384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8672B6A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8F929AB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9C06CC0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618BD52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E23B5C6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B01559A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D3DEBB5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07C4" w:rsidRPr="000C1A53" w14:paraId="71F7D5F5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61350742" w14:textId="60DF343B" w:rsidR="003007C4" w:rsidRPr="005F18D4" w:rsidRDefault="003007C4" w:rsidP="003007C4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plan creation and implementation;</w:t>
            </w:r>
            <w:r w:rsidR="00277338"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4A644F09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538E0DE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2175AE5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506F084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645AC06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9E56B99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15DAB85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189C61D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D82143C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24F297F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07C4" w:rsidRPr="000C1A53" w14:paraId="58441876" w14:textId="77777777" w:rsidTr="00FD4AEE">
        <w:trPr>
          <w:trHeight w:val="341"/>
        </w:trPr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7B0947F3" w14:textId="447875CF" w:rsidR="003007C4" w:rsidRPr="005F18D4" w:rsidRDefault="003007C4" w:rsidP="003007C4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methods of design and intervention to understand and influence the future.</w:t>
            </w:r>
          </w:p>
        </w:tc>
        <w:tc>
          <w:tcPr>
            <w:tcW w:w="450" w:type="dxa"/>
          </w:tcPr>
          <w:p w14:paraId="2E1A3914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F0C7B39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CE01412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B6ED2A1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932709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94D2EC0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1077B94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71CB21C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2E9B1BD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A548A22" w14:textId="77777777" w:rsidR="003007C4" w:rsidRPr="000C1A53" w:rsidRDefault="003007C4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4AFC" w:rsidRPr="000C1A53" w14:paraId="68395456" w14:textId="77777777" w:rsidTr="007863FA">
        <w:trPr>
          <w:trHeight w:val="341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4328C" w14:textId="33AB8E01" w:rsidR="00DE4AFC" w:rsidRPr="005F18D4" w:rsidRDefault="00DE4AFC" w:rsidP="00642407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bCs/>
                <w:i/>
                <w:iCs/>
                <w:sz w:val="22"/>
                <w:szCs w:val="22"/>
              </w:rPr>
              <w:t>Analytical Skills and Tools</w:t>
            </w:r>
            <w:r w:rsidRPr="005F18D4">
              <w:rPr>
                <w:rFonts w:eastAsia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600" w:type="dxa"/>
            <w:gridSpan w:val="10"/>
            <w:tcBorders>
              <w:left w:val="nil"/>
            </w:tcBorders>
            <w:shd w:val="clear" w:color="auto" w:fill="E9D8BE" w:themeFill="accent5" w:themeFillTint="66"/>
          </w:tcPr>
          <w:p w14:paraId="126E9F14" w14:textId="77777777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074C1FEC" w14:textId="77777777" w:rsidTr="00FD4AEE">
        <w:trPr>
          <w:trHeight w:val="341"/>
        </w:trPr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43ABD5B6" w14:textId="3B68B4FB" w:rsidR="002C56A9" w:rsidRPr="005F18D4" w:rsidRDefault="002C56A9" w:rsidP="002C56A9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Research and critical analysis skills for preparing and conducting research;</w:t>
            </w:r>
          </w:p>
        </w:tc>
        <w:tc>
          <w:tcPr>
            <w:tcW w:w="450" w:type="dxa"/>
          </w:tcPr>
          <w:p w14:paraId="32326FCC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3F7C64A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37EF546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89469F4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0B18238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4DD6A40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D41CCCD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05AAD1D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1B006CE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901DB6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3032F431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0E6852F3" w14:textId="5357634E" w:rsidR="002C56A9" w:rsidRPr="005F18D4" w:rsidRDefault="002C56A9" w:rsidP="002C56A9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quantitative and qualitative methods of data collection, analysis, and forecasting;</w:t>
            </w:r>
          </w:p>
        </w:tc>
        <w:tc>
          <w:tcPr>
            <w:tcW w:w="450" w:type="dxa"/>
          </w:tcPr>
          <w:p w14:paraId="5342E02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79F55D9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6AD3974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E81E5E3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85D31F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A53D949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DC36A3C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CCF59C9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9B453A1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5F918A3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0B71C3DB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47156E5A" w14:textId="2DCBA2C5" w:rsidR="002C56A9" w:rsidRPr="005F18D4" w:rsidRDefault="002C56A9" w:rsidP="002C56A9">
            <w:pPr>
              <w:pStyle w:val="ListParagraph"/>
              <w:ind w:left="36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methods of geo-spatial analysis, mapping and data visualization;</w:t>
            </w:r>
            <w:r w:rsidR="00277338"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1C37474B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FB6BE7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0B6D517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119D415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6EA05DE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AEFE021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F761A97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0E7136E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BE15779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E5A82E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4E7F6BDD" w14:textId="77777777" w:rsidTr="00FD4AEE">
        <w:trPr>
          <w:trHeight w:val="341"/>
        </w:trPr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10CC5C45" w14:textId="57737C33" w:rsidR="002C56A9" w:rsidRPr="005F18D4" w:rsidRDefault="002C56A9" w:rsidP="002C56A9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data analytics and urban technology.</w:t>
            </w:r>
          </w:p>
        </w:tc>
        <w:tc>
          <w:tcPr>
            <w:tcW w:w="450" w:type="dxa"/>
          </w:tcPr>
          <w:p w14:paraId="0AFC8D19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5BDBD3E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B11C01A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3037159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6203D40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DDA7286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0687A4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3291DC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B698AC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FEDD5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E4AFC" w:rsidRPr="000C1A53" w14:paraId="0C82E18A" w14:textId="77777777" w:rsidTr="007863FA">
        <w:trPr>
          <w:trHeight w:val="341"/>
        </w:trPr>
        <w:tc>
          <w:tcPr>
            <w:tcW w:w="7398" w:type="dxa"/>
            <w:tcBorders>
              <w:bottom w:val="single" w:sz="4" w:space="0" w:color="auto"/>
              <w:right w:val="nil"/>
            </w:tcBorders>
            <w:vAlign w:val="center"/>
          </w:tcPr>
          <w:p w14:paraId="7A655BAD" w14:textId="6C5455EA" w:rsidR="00DE4AFC" w:rsidRPr="005F18D4" w:rsidRDefault="00DE4AFC" w:rsidP="00642407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Cs/>
                <w:sz w:val="22"/>
                <w:szCs w:val="22"/>
              </w:rPr>
            </w:pPr>
            <w:r w:rsidRPr="005F18D4">
              <w:rPr>
                <w:rFonts w:eastAsia="Calibri"/>
                <w:i/>
                <w:iCs/>
                <w:sz w:val="22"/>
                <w:szCs w:val="22"/>
              </w:rPr>
              <w:t>Professional, Communication, and Leadership Skills</w:t>
            </w:r>
            <w:r w:rsidRPr="005F18D4">
              <w:rPr>
                <w:rFonts w:eastAsia="Calibri"/>
                <w:sz w:val="22"/>
                <w:szCs w:val="22"/>
              </w:rPr>
              <w:t xml:space="preserve">: </w:t>
            </w:r>
          </w:p>
        </w:tc>
        <w:tc>
          <w:tcPr>
            <w:tcW w:w="3600" w:type="dxa"/>
            <w:gridSpan w:val="10"/>
            <w:tcBorders>
              <w:left w:val="nil"/>
            </w:tcBorders>
            <w:shd w:val="clear" w:color="auto" w:fill="E9D8BE" w:themeFill="accent5" w:themeFillTint="66"/>
          </w:tcPr>
          <w:p w14:paraId="076C3ADE" w14:textId="77777777" w:rsidR="00DE4AFC" w:rsidRPr="000C1A53" w:rsidRDefault="00DE4AFC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451DFCBE" w14:textId="77777777" w:rsidTr="00FD4AEE">
        <w:trPr>
          <w:trHeight w:val="341"/>
        </w:trPr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76E711D5" w14:textId="64FC04DA" w:rsidR="002C56A9" w:rsidRPr="005F18D4" w:rsidRDefault="002C56A9" w:rsidP="002C56A9">
            <w:pPr>
              <w:pStyle w:val="ListParagraph"/>
              <w:ind w:left="360"/>
              <w:rPr>
                <w:rFonts w:eastAsia="Calibri"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Ability to work in teams and with professionals in allied fields;</w:t>
            </w:r>
          </w:p>
        </w:tc>
        <w:tc>
          <w:tcPr>
            <w:tcW w:w="450" w:type="dxa"/>
          </w:tcPr>
          <w:p w14:paraId="19A40B2C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54D54F3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2C0D06F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A090A36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7D9BC4B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7195AB2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2B92325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3864365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0D44466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A50B434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298B78E6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30D40BD5" w14:textId="4695F29F" w:rsidR="002C56A9" w:rsidRPr="005F18D4" w:rsidRDefault="002C56A9" w:rsidP="002C56A9">
            <w:pPr>
              <w:pStyle w:val="ListParagraph"/>
              <w:ind w:left="360"/>
              <w:rPr>
                <w:rFonts w:eastAsia="Calibri"/>
                <w:i/>
                <w:iCs/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professional leadership in the planning context;</w:t>
            </w:r>
            <w:r w:rsidR="00277338">
              <w:rPr>
                <w:sz w:val="22"/>
                <w:szCs w:val="22"/>
              </w:rPr>
              <w:t xml:space="preserve"> and</w:t>
            </w:r>
          </w:p>
        </w:tc>
        <w:tc>
          <w:tcPr>
            <w:tcW w:w="450" w:type="dxa"/>
          </w:tcPr>
          <w:p w14:paraId="51D6B921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588FD28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364BD06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AB472B0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7A085CE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43A0EB3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2529ADC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60B9562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6E9191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DD32DA8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C56A9" w:rsidRPr="000C1A53" w14:paraId="66625A53" w14:textId="77777777" w:rsidTr="00DE4AFC">
        <w:trPr>
          <w:trHeight w:val="341"/>
        </w:trPr>
        <w:tc>
          <w:tcPr>
            <w:tcW w:w="7398" w:type="dxa"/>
            <w:vAlign w:val="center"/>
          </w:tcPr>
          <w:p w14:paraId="05E47996" w14:textId="7A70D6DC" w:rsidR="002C56A9" w:rsidRPr="005F18D4" w:rsidRDefault="002C56A9" w:rsidP="002C56A9">
            <w:pPr>
              <w:pStyle w:val="ListParagraph"/>
              <w:ind w:left="360"/>
              <w:rPr>
                <w:sz w:val="22"/>
                <w:szCs w:val="22"/>
              </w:rPr>
            </w:pPr>
            <w:r w:rsidRPr="005F18D4">
              <w:rPr>
                <w:sz w:val="22"/>
                <w:szCs w:val="22"/>
              </w:rPr>
              <w:t>written, oral, and graphic communication.</w:t>
            </w:r>
          </w:p>
        </w:tc>
        <w:tc>
          <w:tcPr>
            <w:tcW w:w="450" w:type="dxa"/>
          </w:tcPr>
          <w:p w14:paraId="291916E8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2908A96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218132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66639CD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AC430C2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38F60AA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E7C1998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9EED320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A267D04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196EF2D" w14:textId="77777777" w:rsidR="002C56A9" w:rsidRPr="000C1A53" w:rsidRDefault="002C56A9" w:rsidP="000C1A5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78CA7049" w14:textId="77777777" w:rsidR="000C1A53" w:rsidRPr="000C1A53" w:rsidRDefault="000C1A53" w:rsidP="000C1A53">
      <w:pPr>
        <w:spacing w:before="0" w:after="0" w:line="240" w:lineRule="auto"/>
        <w:rPr>
          <w:rFonts w:eastAsia="Calibri"/>
          <w:b/>
          <w:sz w:val="24"/>
          <w:szCs w:val="24"/>
        </w:rPr>
      </w:pPr>
    </w:p>
    <w:p w14:paraId="0942AA64" w14:textId="77777777" w:rsidR="005D48D4" w:rsidRDefault="005D48D4" w:rsidP="002659C4">
      <w:pPr>
        <w:spacing w:before="0" w:after="0" w:line="240" w:lineRule="auto"/>
        <w:rPr>
          <w:sz w:val="24"/>
          <w:szCs w:val="24"/>
        </w:rPr>
      </w:pPr>
    </w:p>
    <w:sectPr w:rsidR="005D48D4" w:rsidSect="00A023AB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B92" w14:textId="77777777" w:rsidR="00447A32" w:rsidRDefault="00447A32">
      <w:pPr>
        <w:spacing w:before="0" w:after="0" w:line="240" w:lineRule="auto"/>
      </w:pPr>
      <w:r>
        <w:separator/>
      </w:r>
    </w:p>
  </w:endnote>
  <w:endnote w:type="continuationSeparator" w:id="0">
    <w:p w14:paraId="464AC7A6" w14:textId="77777777" w:rsidR="00447A32" w:rsidRDefault="00447A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73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BD517" w14:textId="68367849" w:rsidR="007A2F93" w:rsidRDefault="007A2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0A7825" w14:textId="77777777" w:rsidR="007A2F93" w:rsidRPr="00B36D32" w:rsidRDefault="007A2F93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AC6E" w14:textId="77777777" w:rsidR="00447A32" w:rsidRDefault="00447A32">
      <w:pPr>
        <w:spacing w:before="0" w:after="0" w:line="240" w:lineRule="auto"/>
      </w:pPr>
      <w:r>
        <w:separator/>
      </w:r>
    </w:p>
  </w:footnote>
  <w:footnote w:type="continuationSeparator" w:id="0">
    <w:p w14:paraId="543E0202" w14:textId="77777777" w:rsidR="00447A32" w:rsidRDefault="00447A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30F"/>
    <w:multiLevelType w:val="hybridMultilevel"/>
    <w:tmpl w:val="B650C1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93D2B"/>
    <w:multiLevelType w:val="hybridMultilevel"/>
    <w:tmpl w:val="9C3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C95"/>
    <w:multiLevelType w:val="hybridMultilevel"/>
    <w:tmpl w:val="0C9AE806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367"/>
    <w:multiLevelType w:val="hybridMultilevel"/>
    <w:tmpl w:val="A52E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6FB2"/>
    <w:multiLevelType w:val="hybridMultilevel"/>
    <w:tmpl w:val="211A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5AEC"/>
    <w:multiLevelType w:val="hybridMultilevel"/>
    <w:tmpl w:val="FF98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70D"/>
    <w:multiLevelType w:val="hybridMultilevel"/>
    <w:tmpl w:val="E2E4E81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581C"/>
    <w:multiLevelType w:val="hybridMultilevel"/>
    <w:tmpl w:val="CEAE77EC"/>
    <w:lvl w:ilvl="0" w:tplc="928EE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C3308C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6AF6DC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 w:tplc="46384CB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1044AB"/>
    <w:multiLevelType w:val="hybridMultilevel"/>
    <w:tmpl w:val="F0F20840"/>
    <w:lvl w:ilvl="0" w:tplc="7F8800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02C"/>
    <w:multiLevelType w:val="hybridMultilevel"/>
    <w:tmpl w:val="470856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862D0"/>
    <w:multiLevelType w:val="hybridMultilevel"/>
    <w:tmpl w:val="39D4EE68"/>
    <w:lvl w:ilvl="0" w:tplc="C3308C1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2E1FD5"/>
    <w:multiLevelType w:val="hybridMultilevel"/>
    <w:tmpl w:val="DFAA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07B19"/>
    <w:multiLevelType w:val="hybridMultilevel"/>
    <w:tmpl w:val="8202266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5E18"/>
    <w:multiLevelType w:val="hybridMultilevel"/>
    <w:tmpl w:val="ED08DCC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45BD3"/>
    <w:multiLevelType w:val="hybridMultilevel"/>
    <w:tmpl w:val="09A8F71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27FC2"/>
    <w:multiLevelType w:val="hybridMultilevel"/>
    <w:tmpl w:val="24CCF042"/>
    <w:lvl w:ilvl="0" w:tplc="5CD605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646A12"/>
    <w:multiLevelType w:val="hybridMultilevel"/>
    <w:tmpl w:val="65F8587E"/>
    <w:lvl w:ilvl="0" w:tplc="39C4A0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62561"/>
    <w:multiLevelType w:val="hybridMultilevel"/>
    <w:tmpl w:val="64F46EF8"/>
    <w:lvl w:ilvl="0" w:tplc="B9765D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345978">
    <w:abstractNumId w:val="1"/>
  </w:num>
  <w:num w:numId="2" w16cid:durableId="305160761">
    <w:abstractNumId w:val="18"/>
  </w:num>
  <w:num w:numId="3" w16cid:durableId="1039663383">
    <w:abstractNumId w:val="8"/>
  </w:num>
  <w:num w:numId="4" w16cid:durableId="392238084">
    <w:abstractNumId w:val="7"/>
  </w:num>
  <w:num w:numId="5" w16cid:durableId="1569730785">
    <w:abstractNumId w:val="6"/>
  </w:num>
  <w:num w:numId="6" w16cid:durableId="946693755">
    <w:abstractNumId w:val="13"/>
  </w:num>
  <w:num w:numId="7" w16cid:durableId="1728842804">
    <w:abstractNumId w:val="4"/>
  </w:num>
  <w:num w:numId="8" w16cid:durableId="1864859472">
    <w:abstractNumId w:val="14"/>
  </w:num>
  <w:num w:numId="9" w16cid:durableId="62456458">
    <w:abstractNumId w:val="12"/>
  </w:num>
  <w:num w:numId="10" w16cid:durableId="18624284">
    <w:abstractNumId w:val="15"/>
  </w:num>
  <w:num w:numId="11" w16cid:durableId="1423142880">
    <w:abstractNumId w:val="5"/>
  </w:num>
  <w:num w:numId="12" w16cid:durableId="1379473180">
    <w:abstractNumId w:val="11"/>
  </w:num>
  <w:num w:numId="13" w16cid:durableId="1111784332">
    <w:abstractNumId w:val="3"/>
  </w:num>
  <w:num w:numId="14" w16cid:durableId="2137135997">
    <w:abstractNumId w:val="19"/>
  </w:num>
  <w:num w:numId="15" w16cid:durableId="1719279044">
    <w:abstractNumId w:val="2"/>
  </w:num>
  <w:num w:numId="16" w16cid:durableId="639651573">
    <w:abstractNumId w:val="17"/>
  </w:num>
  <w:num w:numId="17" w16cid:durableId="1036731740">
    <w:abstractNumId w:val="16"/>
  </w:num>
  <w:num w:numId="18" w16cid:durableId="1036925210">
    <w:abstractNumId w:val="9"/>
  </w:num>
  <w:num w:numId="19" w16cid:durableId="1953583626">
    <w:abstractNumId w:val="0"/>
  </w:num>
  <w:num w:numId="20" w16cid:durableId="316691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8C"/>
    <w:rsid w:val="00003F15"/>
    <w:rsid w:val="0000412D"/>
    <w:rsid w:val="00005DC7"/>
    <w:rsid w:val="00011367"/>
    <w:rsid w:val="000161E9"/>
    <w:rsid w:val="00023CF8"/>
    <w:rsid w:val="000251C3"/>
    <w:rsid w:val="00026EDC"/>
    <w:rsid w:val="000271D7"/>
    <w:rsid w:val="000277EF"/>
    <w:rsid w:val="00031292"/>
    <w:rsid w:val="00036054"/>
    <w:rsid w:val="00037EDC"/>
    <w:rsid w:val="00040269"/>
    <w:rsid w:val="00046DC0"/>
    <w:rsid w:val="00056371"/>
    <w:rsid w:val="00061A62"/>
    <w:rsid w:val="00061A97"/>
    <w:rsid w:val="000663FD"/>
    <w:rsid w:val="000705F9"/>
    <w:rsid w:val="000829D6"/>
    <w:rsid w:val="00083B67"/>
    <w:rsid w:val="000877C9"/>
    <w:rsid w:val="00090A71"/>
    <w:rsid w:val="000951D8"/>
    <w:rsid w:val="000A16EF"/>
    <w:rsid w:val="000A1BD6"/>
    <w:rsid w:val="000B1B3E"/>
    <w:rsid w:val="000B308C"/>
    <w:rsid w:val="000B4CD7"/>
    <w:rsid w:val="000B51F0"/>
    <w:rsid w:val="000B7789"/>
    <w:rsid w:val="000C1A53"/>
    <w:rsid w:val="000C2CF6"/>
    <w:rsid w:val="000D1A7B"/>
    <w:rsid w:val="000D229C"/>
    <w:rsid w:val="000D288B"/>
    <w:rsid w:val="000D547F"/>
    <w:rsid w:val="000E26DC"/>
    <w:rsid w:val="000E48A0"/>
    <w:rsid w:val="000E4F00"/>
    <w:rsid w:val="000E51A8"/>
    <w:rsid w:val="000E7264"/>
    <w:rsid w:val="000F70B4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7BB3"/>
    <w:rsid w:val="0014197C"/>
    <w:rsid w:val="00146947"/>
    <w:rsid w:val="00146986"/>
    <w:rsid w:val="00147727"/>
    <w:rsid w:val="001518D3"/>
    <w:rsid w:val="001530DA"/>
    <w:rsid w:val="0015330D"/>
    <w:rsid w:val="00156175"/>
    <w:rsid w:val="00156EB3"/>
    <w:rsid w:val="001615FF"/>
    <w:rsid w:val="00165CAC"/>
    <w:rsid w:val="00170D22"/>
    <w:rsid w:val="00177C1E"/>
    <w:rsid w:val="001806DB"/>
    <w:rsid w:val="00180D54"/>
    <w:rsid w:val="00181036"/>
    <w:rsid w:val="00183489"/>
    <w:rsid w:val="00183E90"/>
    <w:rsid w:val="001948AF"/>
    <w:rsid w:val="001969EB"/>
    <w:rsid w:val="0019770B"/>
    <w:rsid w:val="001A0411"/>
    <w:rsid w:val="001A076F"/>
    <w:rsid w:val="001A67B2"/>
    <w:rsid w:val="001B1611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66B"/>
    <w:rsid w:val="001F29E7"/>
    <w:rsid w:val="001F3538"/>
    <w:rsid w:val="001F3FF2"/>
    <w:rsid w:val="001F6734"/>
    <w:rsid w:val="001F6F4B"/>
    <w:rsid w:val="002045CF"/>
    <w:rsid w:val="00205676"/>
    <w:rsid w:val="002073BF"/>
    <w:rsid w:val="00211EE1"/>
    <w:rsid w:val="00217061"/>
    <w:rsid w:val="00217C23"/>
    <w:rsid w:val="002234E9"/>
    <w:rsid w:val="00227A82"/>
    <w:rsid w:val="00235450"/>
    <w:rsid w:val="00244042"/>
    <w:rsid w:val="0024533F"/>
    <w:rsid w:val="00245F0C"/>
    <w:rsid w:val="002519A5"/>
    <w:rsid w:val="00252C89"/>
    <w:rsid w:val="00253542"/>
    <w:rsid w:val="002546B0"/>
    <w:rsid w:val="00254CD0"/>
    <w:rsid w:val="00261794"/>
    <w:rsid w:val="00261BF3"/>
    <w:rsid w:val="002633DC"/>
    <w:rsid w:val="00264450"/>
    <w:rsid w:val="002659C4"/>
    <w:rsid w:val="00267D2F"/>
    <w:rsid w:val="002703D3"/>
    <w:rsid w:val="00273C41"/>
    <w:rsid w:val="00275E35"/>
    <w:rsid w:val="002770DE"/>
    <w:rsid w:val="00277338"/>
    <w:rsid w:val="002801F5"/>
    <w:rsid w:val="00283335"/>
    <w:rsid w:val="00291411"/>
    <w:rsid w:val="00294400"/>
    <w:rsid w:val="00294878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C56A9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07C4"/>
    <w:rsid w:val="00301E64"/>
    <w:rsid w:val="00304306"/>
    <w:rsid w:val="00307411"/>
    <w:rsid w:val="00307A57"/>
    <w:rsid w:val="00315E2D"/>
    <w:rsid w:val="003200ED"/>
    <w:rsid w:val="00335491"/>
    <w:rsid w:val="00340364"/>
    <w:rsid w:val="00341E8C"/>
    <w:rsid w:val="00343FDB"/>
    <w:rsid w:val="00350FA0"/>
    <w:rsid w:val="00352489"/>
    <w:rsid w:val="00352490"/>
    <w:rsid w:val="00357356"/>
    <w:rsid w:val="00367C7F"/>
    <w:rsid w:val="00367EB6"/>
    <w:rsid w:val="00372408"/>
    <w:rsid w:val="0037613E"/>
    <w:rsid w:val="00377ECC"/>
    <w:rsid w:val="00382137"/>
    <w:rsid w:val="003833DF"/>
    <w:rsid w:val="003837DB"/>
    <w:rsid w:val="00383C55"/>
    <w:rsid w:val="003A47FD"/>
    <w:rsid w:val="003B0C76"/>
    <w:rsid w:val="003B5D18"/>
    <w:rsid w:val="003B626C"/>
    <w:rsid w:val="003B62FE"/>
    <w:rsid w:val="003B684F"/>
    <w:rsid w:val="003C0E47"/>
    <w:rsid w:val="003D1260"/>
    <w:rsid w:val="003D140E"/>
    <w:rsid w:val="003D3877"/>
    <w:rsid w:val="003D4729"/>
    <w:rsid w:val="003E4A6E"/>
    <w:rsid w:val="003E611A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528F"/>
    <w:rsid w:val="0041655D"/>
    <w:rsid w:val="004220FD"/>
    <w:rsid w:val="00424263"/>
    <w:rsid w:val="004260A4"/>
    <w:rsid w:val="00432A41"/>
    <w:rsid w:val="00432DF2"/>
    <w:rsid w:val="00432E2E"/>
    <w:rsid w:val="004361C8"/>
    <w:rsid w:val="004402FA"/>
    <w:rsid w:val="004407F1"/>
    <w:rsid w:val="00440EC1"/>
    <w:rsid w:val="00447A32"/>
    <w:rsid w:val="0045144A"/>
    <w:rsid w:val="004519AA"/>
    <w:rsid w:val="00452B65"/>
    <w:rsid w:val="00456C8C"/>
    <w:rsid w:val="004616C6"/>
    <w:rsid w:val="004622C6"/>
    <w:rsid w:val="00463AF9"/>
    <w:rsid w:val="00466288"/>
    <w:rsid w:val="004676FB"/>
    <w:rsid w:val="00473ABD"/>
    <w:rsid w:val="00494922"/>
    <w:rsid w:val="004A1183"/>
    <w:rsid w:val="004A2476"/>
    <w:rsid w:val="004A42CC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9F2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0BC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46EDF"/>
    <w:rsid w:val="00550E67"/>
    <w:rsid w:val="00553180"/>
    <w:rsid w:val="00557260"/>
    <w:rsid w:val="005579EA"/>
    <w:rsid w:val="00561AC0"/>
    <w:rsid w:val="00570EAC"/>
    <w:rsid w:val="00572A01"/>
    <w:rsid w:val="00573C92"/>
    <w:rsid w:val="005749BE"/>
    <w:rsid w:val="00574B96"/>
    <w:rsid w:val="005777DA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96AEF"/>
    <w:rsid w:val="005A1CF6"/>
    <w:rsid w:val="005A3BF6"/>
    <w:rsid w:val="005A5B39"/>
    <w:rsid w:val="005B0F1A"/>
    <w:rsid w:val="005B39C5"/>
    <w:rsid w:val="005B68E2"/>
    <w:rsid w:val="005B6903"/>
    <w:rsid w:val="005C0051"/>
    <w:rsid w:val="005C679D"/>
    <w:rsid w:val="005D48D4"/>
    <w:rsid w:val="005D562F"/>
    <w:rsid w:val="005E09A4"/>
    <w:rsid w:val="005E1C42"/>
    <w:rsid w:val="005E22A2"/>
    <w:rsid w:val="005E3273"/>
    <w:rsid w:val="005E3459"/>
    <w:rsid w:val="005E7275"/>
    <w:rsid w:val="005E737E"/>
    <w:rsid w:val="005F0D10"/>
    <w:rsid w:val="005F1234"/>
    <w:rsid w:val="005F18D4"/>
    <w:rsid w:val="005F3040"/>
    <w:rsid w:val="005F4A2E"/>
    <w:rsid w:val="005F7C84"/>
    <w:rsid w:val="00602F22"/>
    <w:rsid w:val="00605417"/>
    <w:rsid w:val="00606BE8"/>
    <w:rsid w:val="00610009"/>
    <w:rsid w:val="00610166"/>
    <w:rsid w:val="00610A3C"/>
    <w:rsid w:val="00611101"/>
    <w:rsid w:val="00614456"/>
    <w:rsid w:val="00614F4A"/>
    <w:rsid w:val="006159D6"/>
    <w:rsid w:val="006230A7"/>
    <w:rsid w:val="0062407F"/>
    <w:rsid w:val="006251CC"/>
    <w:rsid w:val="00627F55"/>
    <w:rsid w:val="00630842"/>
    <w:rsid w:val="00632C49"/>
    <w:rsid w:val="0063788A"/>
    <w:rsid w:val="00642407"/>
    <w:rsid w:val="00643DE3"/>
    <w:rsid w:val="00645CBF"/>
    <w:rsid w:val="00647927"/>
    <w:rsid w:val="006505EA"/>
    <w:rsid w:val="0065229D"/>
    <w:rsid w:val="0065607B"/>
    <w:rsid w:val="00657924"/>
    <w:rsid w:val="00657E73"/>
    <w:rsid w:val="00661EEE"/>
    <w:rsid w:val="00662567"/>
    <w:rsid w:val="0066280E"/>
    <w:rsid w:val="006645F7"/>
    <w:rsid w:val="00666B8B"/>
    <w:rsid w:val="00673AB7"/>
    <w:rsid w:val="00675FFA"/>
    <w:rsid w:val="006852FB"/>
    <w:rsid w:val="00687545"/>
    <w:rsid w:val="0069127C"/>
    <w:rsid w:val="00693BCE"/>
    <w:rsid w:val="006A2940"/>
    <w:rsid w:val="006B1763"/>
    <w:rsid w:val="006B4327"/>
    <w:rsid w:val="006C1354"/>
    <w:rsid w:val="006C199E"/>
    <w:rsid w:val="006C25CD"/>
    <w:rsid w:val="006C7950"/>
    <w:rsid w:val="006D0A60"/>
    <w:rsid w:val="006D4F79"/>
    <w:rsid w:val="006E2C17"/>
    <w:rsid w:val="006E2DD4"/>
    <w:rsid w:val="006E5397"/>
    <w:rsid w:val="006F0B05"/>
    <w:rsid w:val="006F3BD0"/>
    <w:rsid w:val="007020D9"/>
    <w:rsid w:val="00702DD4"/>
    <w:rsid w:val="00702EA3"/>
    <w:rsid w:val="00710912"/>
    <w:rsid w:val="007147D8"/>
    <w:rsid w:val="00714965"/>
    <w:rsid w:val="00717542"/>
    <w:rsid w:val="00722CDF"/>
    <w:rsid w:val="00727865"/>
    <w:rsid w:val="007342AE"/>
    <w:rsid w:val="00735AC7"/>
    <w:rsid w:val="00737A29"/>
    <w:rsid w:val="00740CA4"/>
    <w:rsid w:val="007522F0"/>
    <w:rsid w:val="00753873"/>
    <w:rsid w:val="00754283"/>
    <w:rsid w:val="00757CDF"/>
    <w:rsid w:val="0076095F"/>
    <w:rsid w:val="00760CA7"/>
    <w:rsid w:val="00761F5F"/>
    <w:rsid w:val="00763D3F"/>
    <w:rsid w:val="00764613"/>
    <w:rsid w:val="007714D6"/>
    <w:rsid w:val="007748F3"/>
    <w:rsid w:val="00776517"/>
    <w:rsid w:val="007769AC"/>
    <w:rsid w:val="007863FA"/>
    <w:rsid w:val="0078691B"/>
    <w:rsid w:val="00786B94"/>
    <w:rsid w:val="00791E76"/>
    <w:rsid w:val="00792E69"/>
    <w:rsid w:val="00796707"/>
    <w:rsid w:val="0079796F"/>
    <w:rsid w:val="007A2623"/>
    <w:rsid w:val="007A2F93"/>
    <w:rsid w:val="007A31D5"/>
    <w:rsid w:val="007A625B"/>
    <w:rsid w:val="007A66BC"/>
    <w:rsid w:val="007A7A8B"/>
    <w:rsid w:val="007B7037"/>
    <w:rsid w:val="007C149D"/>
    <w:rsid w:val="007C1F57"/>
    <w:rsid w:val="007C4E0A"/>
    <w:rsid w:val="007C5B30"/>
    <w:rsid w:val="007C6DAE"/>
    <w:rsid w:val="007D389D"/>
    <w:rsid w:val="007D42AF"/>
    <w:rsid w:val="007D6474"/>
    <w:rsid w:val="007D7161"/>
    <w:rsid w:val="007D7764"/>
    <w:rsid w:val="007E1866"/>
    <w:rsid w:val="007E3273"/>
    <w:rsid w:val="007E4793"/>
    <w:rsid w:val="007E61E7"/>
    <w:rsid w:val="007E65B3"/>
    <w:rsid w:val="007E69EA"/>
    <w:rsid w:val="007E7FEF"/>
    <w:rsid w:val="007F27C3"/>
    <w:rsid w:val="007F3237"/>
    <w:rsid w:val="007F3E96"/>
    <w:rsid w:val="007F4B9A"/>
    <w:rsid w:val="007F77DC"/>
    <w:rsid w:val="0080056C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14DC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517"/>
    <w:rsid w:val="008C5D8C"/>
    <w:rsid w:val="008D1AF1"/>
    <w:rsid w:val="008D463F"/>
    <w:rsid w:val="008D4AF2"/>
    <w:rsid w:val="008E0AB7"/>
    <w:rsid w:val="008E3C83"/>
    <w:rsid w:val="008E7F58"/>
    <w:rsid w:val="008F0C0F"/>
    <w:rsid w:val="009019DF"/>
    <w:rsid w:val="00904D89"/>
    <w:rsid w:val="009102B5"/>
    <w:rsid w:val="00912617"/>
    <w:rsid w:val="00912ECC"/>
    <w:rsid w:val="009135A2"/>
    <w:rsid w:val="009213CC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528"/>
    <w:rsid w:val="00987AEF"/>
    <w:rsid w:val="009917B9"/>
    <w:rsid w:val="0099343E"/>
    <w:rsid w:val="00993669"/>
    <w:rsid w:val="00997E54"/>
    <w:rsid w:val="009A05C2"/>
    <w:rsid w:val="009A1EF1"/>
    <w:rsid w:val="009A5C01"/>
    <w:rsid w:val="009A7E0F"/>
    <w:rsid w:val="009C0478"/>
    <w:rsid w:val="009C059E"/>
    <w:rsid w:val="009C32AA"/>
    <w:rsid w:val="009C6A1E"/>
    <w:rsid w:val="009C6C5B"/>
    <w:rsid w:val="009C7210"/>
    <w:rsid w:val="009C7751"/>
    <w:rsid w:val="009D22A2"/>
    <w:rsid w:val="009D25F4"/>
    <w:rsid w:val="009D2E4C"/>
    <w:rsid w:val="009D3F83"/>
    <w:rsid w:val="009D5F1F"/>
    <w:rsid w:val="009D78A4"/>
    <w:rsid w:val="009E2B4F"/>
    <w:rsid w:val="009F01F5"/>
    <w:rsid w:val="009F040F"/>
    <w:rsid w:val="009F22E1"/>
    <w:rsid w:val="009F4648"/>
    <w:rsid w:val="009F4AE3"/>
    <w:rsid w:val="009F521B"/>
    <w:rsid w:val="009F5647"/>
    <w:rsid w:val="00A01F17"/>
    <w:rsid w:val="00A023AB"/>
    <w:rsid w:val="00A02FF2"/>
    <w:rsid w:val="00A05603"/>
    <w:rsid w:val="00A0793A"/>
    <w:rsid w:val="00A269A4"/>
    <w:rsid w:val="00A26E4E"/>
    <w:rsid w:val="00A27C59"/>
    <w:rsid w:val="00A30699"/>
    <w:rsid w:val="00A308BF"/>
    <w:rsid w:val="00A31F44"/>
    <w:rsid w:val="00A33509"/>
    <w:rsid w:val="00A35094"/>
    <w:rsid w:val="00A355A3"/>
    <w:rsid w:val="00A37980"/>
    <w:rsid w:val="00A41944"/>
    <w:rsid w:val="00A4450C"/>
    <w:rsid w:val="00A44A8C"/>
    <w:rsid w:val="00A456C9"/>
    <w:rsid w:val="00A462D8"/>
    <w:rsid w:val="00A47A9B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B5A8F"/>
    <w:rsid w:val="00AC2322"/>
    <w:rsid w:val="00AC38AE"/>
    <w:rsid w:val="00AC61C4"/>
    <w:rsid w:val="00AD0C03"/>
    <w:rsid w:val="00AD2099"/>
    <w:rsid w:val="00AD2FB0"/>
    <w:rsid w:val="00AD38C6"/>
    <w:rsid w:val="00AD66B2"/>
    <w:rsid w:val="00AD6853"/>
    <w:rsid w:val="00AD7486"/>
    <w:rsid w:val="00AE0D93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1473B"/>
    <w:rsid w:val="00B23EBF"/>
    <w:rsid w:val="00B35776"/>
    <w:rsid w:val="00B41B30"/>
    <w:rsid w:val="00B507E5"/>
    <w:rsid w:val="00B56518"/>
    <w:rsid w:val="00B62AB0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234"/>
    <w:rsid w:val="00B92ECC"/>
    <w:rsid w:val="00B93207"/>
    <w:rsid w:val="00B936A0"/>
    <w:rsid w:val="00B962DC"/>
    <w:rsid w:val="00BA1648"/>
    <w:rsid w:val="00BA2731"/>
    <w:rsid w:val="00BA7041"/>
    <w:rsid w:val="00BA720B"/>
    <w:rsid w:val="00BB0DE6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E41BC"/>
    <w:rsid w:val="00BF14C1"/>
    <w:rsid w:val="00BF2868"/>
    <w:rsid w:val="00BF294E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457F"/>
    <w:rsid w:val="00C75B29"/>
    <w:rsid w:val="00C76F11"/>
    <w:rsid w:val="00C80189"/>
    <w:rsid w:val="00C818B1"/>
    <w:rsid w:val="00C81E8C"/>
    <w:rsid w:val="00C845CD"/>
    <w:rsid w:val="00C9333C"/>
    <w:rsid w:val="00C93CF8"/>
    <w:rsid w:val="00C945C0"/>
    <w:rsid w:val="00C94949"/>
    <w:rsid w:val="00C97907"/>
    <w:rsid w:val="00CA336C"/>
    <w:rsid w:val="00CA354A"/>
    <w:rsid w:val="00CA44E7"/>
    <w:rsid w:val="00CA46C1"/>
    <w:rsid w:val="00CA4F6C"/>
    <w:rsid w:val="00CA6A45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66BD"/>
    <w:rsid w:val="00CE7317"/>
    <w:rsid w:val="00CF1711"/>
    <w:rsid w:val="00CF7A1A"/>
    <w:rsid w:val="00D00AAE"/>
    <w:rsid w:val="00D0210B"/>
    <w:rsid w:val="00D05391"/>
    <w:rsid w:val="00D101E5"/>
    <w:rsid w:val="00D13EBA"/>
    <w:rsid w:val="00D14AD6"/>
    <w:rsid w:val="00D16C1D"/>
    <w:rsid w:val="00D21606"/>
    <w:rsid w:val="00D2489C"/>
    <w:rsid w:val="00D25178"/>
    <w:rsid w:val="00D26AE7"/>
    <w:rsid w:val="00D315DF"/>
    <w:rsid w:val="00D31FC4"/>
    <w:rsid w:val="00D41CA4"/>
    <w:rsid w:val="00D4476A"/>
    <w:rsid w:val="00D452DB"/>
    <w:rsid w:val="00D52C17"/>
    <w:rsid w:val="00D53EA6"/>
    <w:rsid w:val="00D56E8C"/>
    <w:rsid w:val="00D6013B"/>
    <w:rsid w:val="00D61A75"/>
    <w:rsid w:val="00D6447A"/>
    <w:rsid w:val="00D70ACF"/>
    <w:rsid w:val="00D83FA5"/>
    <w:rsid w:val="00D847B0"/>
    <w:rsid w:val="00D85F4E"/>
    <w:rsid w:val="00D867A3"/>
    <w:rsid w:val="00D90F54"/>
    <w:rsid w:val="00DA06C8"/>
    <w:rsid w:val="00DA44EA"/>
    <w:rsid w:val="00DA4877"/>
    <w:rsid w:val="00DA5C75"/>
    <w:rsid w:val="00DB1BAC"/>
    <w:rsid w:val="00DB4F70"/>
    <w:rsid w:val="00DB582A"/>
    <w:rsid w:val="00DB6D13"/>
    <w:rsid w:val="00DB7492"/>
    <w:rsid w:val="00DC1A4F"/>
    <w:rsid w:val="00DC6E29"/>
    <w:rsid w:val="00DD1DE0"/>
    <w:rsid w:val="00DD1E9B"/>
    <w:rsid w:val="00DD5D4D"/>
    <w:rsid w:val="00DE2F2B"/>
    <w:rsid w:val="00DE3F0F"/>
    <w:rsid w:val="00DE40E7"/>
    <w:rsid w:val="00DE4AFC"/>
    <w:rsid w:val="00DF26D8"/>
    <w:rsid w:val="00DF4502"/>
    <w:rsid w:val="00DF5FC3"/>
    <w:rsid w:val="00E00FCD"/>
    <w:rsid w:val="00E03E92"/>
    <w:rsid w:val="00E07AAE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222"/>
    <w:rsid w:val="00E4062E"/>
    <w:rsid w:val="00E45E1A"/>
    <w:rsid w:val="00E46B8B"/>
    <w:rsid w:val="00E50555"/>
    <w:rsid w:val="00E5178F"/>
    <w:rsid w:val="00E529D2"/>
    <w:rsid w:val="00E63A37"/>
    <w:rsid w:val="00E66FDE"/>
    <w:rsid w:val="00E70018"/>
    <w:rsid w:val="00E74B91"/>
    <w:rsid w:val="00E907B3"/>
    <w:rsid w:val="00E90AEC"/>
    <w:rsid w:val="00EA3158"/>
    <w:rsid w:val="00EA335F"/>
    <w:rsid w:val="00EA4B45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E709E"/>
    <w:rsid w:val="00EF2DCD"/>
    <w:rsid w:val="00EF366C"/>
    <w:rsid w:val="00EF521E"/>
    <w:rsid w:val="00EF61CB"/>
    <w:rsid w:val="00EF7D48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3745C"/>
    <w:rsid w:val="00F52C48"/>
    <w:rsid w:val="00F5575E"/>
    <w:rsid w:val="00F55973"/>
    <w:rsid w:val="00F55C6D"/>
    <w:rsid w:val="00F57B88"/>
    <w:rsid w:val="00F57C75"/>
    <w:rsid w:val="00F65EFE"/>
    <w:rsid w:val="00F6715F"/>
    <w:rsid w:val="00F71E47"/>
    <w:rsid w:val="00F7440E"/>
    <w:rsid w:val="00F80053"/>
    <w:rsid w:val="00F820E7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20A7"/>
    <w:rsid w:val="00FB360E"/>
    <w:rsid w:val="00FB49AF"/>
    <w:rsid w:val="00FC0CD9"/>
    <w:rsid w:val="00FC4E17"/>
    <w:rsid w:val="00FC55CF"/>
    <w:rsid w:val="00FD26E0"/>
    <w:rsid w:val="00FD3934"/>
    <w:rsid w:val="00FD475A"/>
    <w:rsid w:val="00FD4AEE"/>
    <w:rsid w:val="00FD71CA"/>
    <w:rsid w:val="00FD76B1"/>
    <w:rsid w:val="00FE2E1E"/>
    <w:rsid w:val="00FE39CB"/>
    <w:rsid w:val="00FE700F"/>
    <w:rsid w:val="00FF057C"/>
    <w:rsid w:val="00FF2060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73145"/>
  <w15:docId w15:val="{3EC029C4-7A79-4DE9-9AE2-6D3FC57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7B2"/>
    <w:pPr>
      <w:pBdr>
        <w:top w:val="single" w:sz="24" w:space="0" w:color="A9A57C" w:themeColor="accent1"/>
        <w:left w:val="single" w:sz="24" w:space="0" w:color="A9A57C" w:themeColor="accent1"/>
        <w:bottom w:val="single" w:sz="24" w:space="0" w:color="A9A57C" w:themeColor="accent1"/>
        <w:right w:val="single" w:sz="24" w:space="0" w:color="A9A57C" w:themeColor="accent1"/>
      </w:pBdr>
      <w:shd w:val="clear" w:color="auto" w:fill="A9A57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2"/>
    <w:pPr>
      <w:pBdr>
        <w:top w:val="single" w:sz="24" w:space="0" w:color="EDECE4" w:themeColor="accent1" w:themeTint="33"/>
        <w:left w:val="single" w:sz="24" w:space="0" w:color="EDECE4" w:themeColor="accent1" w:themeTint="33"/>
        <w:bottom w:val="single" w:sz="24" w:space="0" w:color="EDECE4" w:themeColor="accent1" w:themeTint="33"/>
        <w:right w:val="single" w:sz="24" w:space="0" w:color="EDECE4" w:themeColor="accent1" w:themeTint="33"/>
      </w:pBdr>
      <w:shd w:val="clear" w:color="auto" w:fill="EDEC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2"/>
    <w:pPr>
      <w:pBdr>
        <w:top w:val="single" w:sz="6" w:space="2" w:color="A9A57C" w:themeColor="accent1"/>
        <w:left w:val="single" w:sz="6" w:space="2" w:color="A9A57C" w:themeColor="accent1"/>
      </w:pBdr>
      <w:spacing w:before="300" w:after="0"/>
      <w:outlineLvl w:val="2"/>
    </w:pPr>
    <w:rPr>
      <w:caps/>
      <w:color w:val="5755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B2"/>
    <w:pPr>
      <w:pBdr>
        <w:top w:val="dotted" w:sz="6" w:space="2" w:color="A9A57C" w:themeColor="accent1"/>
        <w:left w:val="dotted" w:sz="6" w:space="2" w:color="A9A57C" w:themeColor="accent1"/>
      </w:pBdr>
      <w:spacing w:before="300" w:after="0"/>
      <w:outlineLvl w:val="3"/>
    </w:pPr>
    <w:rPr>
      <w:caps/>
      <w:color w:val="84805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2"/>
    <w:pPr>
      <w:pBdr>
        <w:bottom w:val="single" w:sz="6" w:space="1" w:color="A9A57C" w:themeColor="accent1"/>
      </w:pBdr>
      <w:spacing w:before="300" w:after="0"/>
      <w:outlineLvl w:val="4"/>
    </w:pPr>
    <w:rPr>
      <w:caps/>
      <w:color w:val="84805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2"/>
    <w:pPr>
      <w:pBdr>
        <w:bottom w:val="dotted" w:sz="6" w:space="1" w:color="A9A57C" w:themeColor="accent1"/>
      </w:pBdr>
      <w:spacing w:before="300" w:after="0"/>
      <w:outlineLvl w:val="5"/>
    </w:pPr>
    <w:rPr>
      <w:caps/>
      <w:color w:val="84805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2"/>
    <w:pPr>
      <w:spacing w:before="300" w:after="0"/>
      <w:outlineLvl w:val="6"/>
    </w:pPr>
    <w:rPr>
      <w:caps/>
      <w:color w:val="84805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7B2"/>
    <w:rPr>
      <w:b/>
      <w:bCs/>
      <w:caps/>
      <w:color w:val="FFFFFF" w:themeColor="background1"/>
      <w:spacing w:val="15"/>
      <w:shd w:val="clear" w:color="auto" w:fill="A9A57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7B2"/>
    <w:rPr>
      <w:caps/>
      <w:spacing w:val="15"/>
      <w:shd w:val="clear" w:color="auto" w:fill="EDE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A67B2"/>
    <w:rPr>
      <w:caps/>
      <w:color w:val="5755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7B2"/>
    <w:pPr>
      <w:spacing w:before="720"/>
    </w:pPr>
    <w:rPr>
      <w:caps/>
      <w:color w:val="A9A57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2"/>
    <w:rPr>
      <w:caps/>
      <w:color w:val="A9A57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2"/>
    <w:pPr>
      <w:spacing w:after="1000" w:line="240" w:lineRule="auto"/>
    </w:pPr>
    <w:rPr>
      <w:caps/>
      <w:color w:val="887C5D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7B2"/>
    <w:rPr>
      <w:caps/>
      <w:color w:val="887C5D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67B2"/>
    <w:rPr>
      <w:b/>
      <w:bCs/>
    </w:rPr>
  </w:style>
  <w:style w:type="character" w:styleId="Emphasis">
    <w:name w:val="Emphasis"/>
    <w:uiPriority w:val="20"/>
    <w:qFormat/>
    <w:rsid w:val="001A67B2"/>
    <w:rPr>
      <w:caps/>
      <w:color w:val="5755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7B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A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top w:val="single" w:sz="4" w:space="10" w:color="A9A57C" w:themeColor="accent1"/>
        <w:left w:val="single" w:sz="4" w:space="10" w:color="A9A57C" w:themeColor="accent1"/>
      </w:pBdr>
      <w:spacing w:after="0"/>
      <w:ind w:left="1296" w:right="1152"/>
      <w:jc w:val="both"/>
    </w:pPr>
    <w:rPr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i/>
      <w:iCs/>
      <w:color w:val="A9A57C" w:themeColor="accent1"/>
      <w:sz w:val="20"/>
      <w:szCs w:val="20"/>
    </w:rPr>
  </w:style>
  <w:style w:type="character" w:styleId="SubtleEmphasis">
    <w:name w:val="Subtle Emphasis"/>
    <w:uiPriority w:val="19"/>
    <w:qFormat/>
    <w:rsid w:val="001A67B2"/>
    <w:rPr>
      <w:i/>
      <w:iCs/>
      <w:color w:val="575539" w:themeColor="accent1" w:themeShade="7F"/>
    </w:rPr>
  </w:style>
  <w:style w:type="character" w:styleId="IntenseEmphasis">
    <w:name w:val="Intense Emphasis"/>
    <w:uiPriority w:val="21"/>
    <w:qFormat/>
    <w:rsid w:val="001A67B2"/>
    <w:rPr>
      <w:b/>
      <w:bCs/>
      <w:caps/>
      <w:color w:val="575539" w:themeColor="accent1" w:themeShade="7F"/>
      <w:spacing w:val="10"/>
    </w:rPr>
  </w:style>
  <w:style w:type="character" w:styleId="SubtleReference">
    <w:name w:val="Subtle Reference"/>
    <w:uiPriority w:val="31"/>
    <w:qFormat/>
    <w:rsid w:val="001A67B2"/>
    <w:rPr>
      <w:b/>
      <w:bCs/>
      <w:color w:val="A9A57C" w:themeColor="accent1"/>
    </w:rPr>
  </w:style>
  <w:style w:type="character" w:styleId="IntenseReference">
    <w:name w:val="Intense Reference"/>
    <w:uiPriority w:val="32"/>
    <w:qFormat/>
    <w:rsid w:val="001A67B2"/>
    <w:rPr>
      <w:b/>
      <w:bCs/>
      <w:i/>
      <w:iCs/>
      <w:caps/>
      <w:color w:val="A9A57C" w:themeColor="accent1"/>
    </w:rPr>
  </w:style>
  <w:style w:type="character" w:styleId="BookTitle">
    <w:name w:val="Book Title"/>
    <w:uiPriority w:val="33"/>
    <w:qFormat/>
    <w:rsid w:val="001A67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B2"/>
    <w:rPr>
      <w:b/>
      <w:bCs/>
      <w:color w:val="848057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A67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2"/>
    <w:rPr>
      <w:sz w:val="20"/>
      <w:szCs w:val="20"/>
    </w:rPr>
  </w:style>
  <w:style w:type="character" w:styleId="PageNumber">
    <w:name w:val="page number"/>
    <w:basedOn w:val="DefaultParagraphFont"/>
    <w:rsid w:val="001A67B2"/>
  </w:style>
  <w:style w:type="paragraph" w:styleId="TOC1">
    <w:name w:val="toc 1"/>
    <w:basedOn w:val="Normal"/>
    <w:next w:val="Normal"/>
    <w:autoRedefine/>
    <w:uiPriority w:val="39"/>
    <w:unhideWhenUsed/>
    <w:qFormat/>
    <w:rsid w:val="001A6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7B2"/>
    <w:rPr>
      <w:color w:val="D2581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0FC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4A8C"/>
    <w:pPr>
      <w:spacing w:before="0" w:after="100"/>
      <w:ind w:left="440"/>
    </w:pPr>
    <w:rPr>
      <w:sz w:val="22"/>
      <w:szCs w:val="22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9917B9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7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2B5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5CF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045CF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B62AB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B62AB0"/>
    <w:pPr>
      <w:spacing w:before="0"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64613"/>
    <w:pPr>
      <w:spacing w:before="0" w:after="100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64613"/>
    <w:pPr>
      <w:spacing w:before="0" w:after="100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64613"/>
    <w:pPr>
      <w:spacing w:before="0" w:after="100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64613"/>
    <w:pPr>
      <w:spacing w:before="0" w:after="100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64613"/>
    <w:pPr>
      <w:spacing w:before="0" w:after="100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64613"/>
    <w:pPr>
      <w:spacing w:before="0" w:after="100"/>
      <w:ind w:left="17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7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457F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marie\Downloads\SSR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0524-E204-4AEA-87F1-1504EC5C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SSRtemplate</Template>
  <TotalTime>18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Merits</dc:creator>
  <dc:description>PAB 2016 SSR Template. Design and Layout updated Sept 21, 2016</dc:description>
  <cp:lastModifiedBy>PAB2</cp:lastModifiedBy>
  <cp:revision>10</cp:revision>
  <cp:lastPrinted>2017-07-06T16:06:00Z</cp:lastPrinted>
  <dcterms:created xsi:type="dcterms:W3CDTF">2022-12-17T01:11:00Z</dcterms:created>
  <dcterms:modified xsi:type="dcterms:W3CDTF">2023-01-17T15:56:00Z</dcterms:modified>
</cp:coreProperties>
</file>